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0568" w14:textId="77777777" w:rsidR="00A87A96" w:rsidRDefault="00A87A96" w:rsidP="00A87A96">
      <w:pPr>
        <w:jc w:val="right"/>
      </w:pPr>
      <w:r>
        <w:t>ALLEGATO A</w:t>
      </w:r>
    </w:p>
    <w:p w14:paraId="51A033F5" w14:textId="77777777" w:rsidR="00A87A96" w:rsidRDefault="00A87A96" w:rsidP="00A87A96">
      <w:pPr>
        <w:jc w:val="center"/>
      </w:pPr>
    </w:p>
    <w:p w14:paraId="09F61B4B" w14:textId="77777777" w:rsidR="00A87A96" w:rsidRDefault="00A87A96" w:rsidP="00A87A96">
      <w:pPr>
        <w:jc w:val="center"/>
        <w:rPr>
          <w:b/>
          <w:bCs/>
        </w:rPr>
      </w:pPr>
      <w:r>
        <w:rPr>
          <w:b/>
          <w:bCs/>
        </w:rPr>
        <w:t>PROCEDURE PER L’INFORMATIZZAZIONE</w:t>
      </w:r>
      <w:r w:rsidRPr="00B81B67">
        <w:rPr>
          <w:b/>
          <w:bCs/>
        </w:rPr>
        <w:t xml:space="preserve"> DEI REGISTRI BIOLOGICI AI SENSI DEL REG. (UE) N. 848/2018 ALL’INTERNO DEL MODULO GARI BIO</w:t>
      </w:r>
    </w:p>
    <w:p w14:paraId="4181C531" w14:textId="77777777" w:rsidR="00A87A96" w:rsidRPr="00B81B67" w:rsidRDefault="00A87A96" w:rsidP="00A87A96">
      <w:pPr>
        <w:jc w:val="center"/>
        <w:rPr>
          <w:b/>
          <w:bCs/>
        </w:rPr>
      </w:pPr>
    </w:p>
    <w:p w14:paraId="2A76C471" w14:textId="77777777" w:rsidR="00A87A96" w:rsidRDefault="00A87A96" w:rsidP="00A87A96"/>
    <w:p w14:paraId="295ADC26" w14:textId="77777777" w:rsidR="00A87A96" w:rsidRDefault="00A87A96" w:rsidP="00A87A96">
      <w:pPr>
        <w:spacing w:line="276" w:lineRule="auto"/>
      </w:pPr>
    </w:p>
    <w:p w14:paraId="1DBC6105" w14:textId="77777777" w:rsidR="00A87A96" w:rsidRDefault="00A87A96" w:rsidP="00A87A96">
      <w:pPr>
        <w:spacing w:line="276" w:lineRule="auto"/>
      </w:pPr>
      <w:bookmarkStart w:id="0" w:name="_Hlk195442347"/>
      <w:r>
        <w:t>T</w:t>
      </w:r>
      <w:r w:rsidRPr="00B81B67">
        <w:t>utti gli operatori biologici aventi terreni/allevamenti in Umbria</w:t>
      </w:r>
      <w:r>
        <w:t xml:space="preserve"> (che percepiscono o meno premi PSR/CSR per l’agricoltura biologica) </w:t>
      </w:r>
      <w:r w:rsidRPr="00932735">
        <w:rPr>
          <w:b/>
          <w:bCs/>
        </w:rPr>
        <w:t>a far data dal giorno successivo al</w:t>
      </w:r>
      <w:r>
        <w:rPr>
          <w:b/>
          <w:bCs/>
        </w:rPr>
        <w:t>l’ultimo controllo O.d.C. 2025</w:t>
      </w:r>
      <w:r>
        <w:t xml:space="preserve"> </w:t>
      </w:r>
      <w:r w:rsidRPr="00B81B67">
        <w:t xml:space="preserve">dovranno effettuare le proprie registrazioni in merito all’impiego di fertilizzanti, prodotti fitosanitari, acquisti, vendite e operazioni di magazzino sul quaderno di campagna elettronico regionale presente nel GARI. </w:t>
      </w:r>
      <w:r w:rsidRPr="004534D2">
        <w:t>Il GARI provvederà quindi a generare i pertinenti registri BIO ai sensi del Reg. 848/2018 (</w:t>
      </w:r>
      <w:r w:rsidRPr="004707FA">
        <w:rPr>
          <w:b/>
          <w:bCs/>
        </w:rPr>
        <w:t>scheda materie prime, scheda colturale e scheda vendite</w:t>
      </w:r>
      <w:r w:rsidRPr="004534D2">
        <w:t>) che saranno messi a disposizione degli O.d.C in download per le verifiche ispettive ai fini dei controlli e delle vidimazioni di rito</w:t>
      </w:r>
      <w:r>
        <w:t xml:space="preserve"> dell’anno </w:t>
      </w:r>
      <w:r w:rsidRPr="00253AFF">
        <w:rPr>
          <w:b/>
          <w:bCs/>
        </w:rPr>
        <w:t>2026</w:t>
      </w:r>
      <w:r>
        <w:t>.</w:t>
      </w:r>
    </w:p>
    <w:bookmarkEnd w:id="0"/>
    <w:p w14:paraId="5EE2ADAB" w14:textId="015B0CD3" w:rsidR="00A87A96" w:rsidRDefault="00A87A96" w:rsidP="00A87A96">
      <w:pPr>
        <w:spacing w:line="276" w:lineRule="auto"/>
      </w:pPr>
      <w:r>
        <w:t xml:space="preserve">Il GARI garantisce la piena integrazione con i dati del fascicolo aziendale AGEA – SIAN ed in particolare, a partire dal 2025, con il piano colturale grafico (PCG) che ogni azienda dovrà importare nel portale regionale per poter effettuare le registrazioni </w:t>
      </w:r>
      <w:r w:rsidR="00CE5F1B">
        <w:t xml:space="preserve">previste. l’importazione dovrà riguardare sia la sezione terreni </w:t>
      </w:r>
      <w:proofErr w:type="spellStart"/>
      <w:r w:rsidR="00CE5F1B">
        <w:t>bio</w:t>
      </w:r>
      <w:proofErr w:type="spellEnd"/>
      <w:r w:rsidR="00CE5F1B">
        <w:t xml:space="preserve">/convenzionali che le strutture </w:t>
      </w:r>
      <w:proofErr w:type="spellStart"/>
      <w:r w:rsidR="00CE5F1B">
        <w:t>bio</w:t>
      </w:r>
      <w:proofErr w:type="spellEnd"/>
      <w:r w:rsidR="00CE5F1B">
        <w:t>/convenzionali.</w:t>
      </w:r>
    </w:p>
    <w:p w14:paraId="392D6372" w14:textId="77777777" w:rsidR="00A87A96" w:rsidRDefault="00A87A96" w:rsidP="00A87A96">
      <w:pPr>
        <w:spacing w:line="276" w:lineRule="auto"/>
      </w:pPr>
    </w:p>
    <w:p w14:paraId="1D4CDC97" w14:textId="77777777" w:rsidR="00A87A96" w:rsidRDefault="00A87A96" w:rsidP="00A87A96">
      <w:pPr>
        <w:spacing w:line="276" w:lineRule="auto"/>
      </w:pPr>
    </w:p>
    <w:p w14:paraId="28B74DF8" w14:textId="77777777" w:rsidR="00A87A96" w:rsidRPr="007A6BB6" w:rsidRDefault="00A87A96" w:rsidP="00A87A96">
      <w:pPr>
        <w:spacing w:line="276" w:lineRule="auto"/>
        <w:rPr>
          <w:b/>
          <w:bCs/>
        </w:rPr>
      </w:pPr>
      <w:r w:rsidRPr="007A6BB6">
        <w:rPr>
          <w:b/>
          <w:bCs/>
        </w:rPr>
        <w:t>Modalità di accesso</w:t>
      </w:r>
      <w:r>
        <w:rPr>
          <w:b/>
          <w:bCs/>
        </w:rPr>
        <w:t xml:space="preserve"> al modulo GARI-BIO</w:t>
      </w:r>
    </w:p>
    <w:p w14:paraId="1B36F704" w14:textId="77777777" w:rsidR="00A87A96" w:rsidRDefault="00A87A96" w:rsidP="00A87A96">
      <w:pPr>
        <w:spacing w:line="276" w:lineRule="auto"/>
      </w:pPr>
      <w:r>
        <w:t xml:space="preserve">Gli operatori biologici </w:t>
      </w:r>
      <w:r w:rsidRPr="00546352">
        <w:rPr>
          <w:b/>
          <w:bCs/>
        </w:rPr>
        <w:t>entro il 1° giugno 2025</w:t>
      </w:r>
      <w:r>
        <w:t xml:space="preserve"> devono </w:t>
      </w:r>
      <w:r w:rsidRPr="007D762D">
        <w:t xml:space="preserve">richiedere l'accesso al portale </w:t>
      </w:r>
      <w:r>
        <w:t>compilando</w:t>
      </w:r>
      <w:r w:rsidRPr="007D762D">
        <w:t xml:space="preserve"> il modulo "Richiesta credenziali GARI” </w:t>
      </w:r>
      <w:r>
        <w:t>che va trasmesso</w:t>
      </w:r>
      <w:r w:rsidRPr="007D762D">
        <w:t xml:space="preserve"> tramite PEC al Servizio Sviluppo Rurale e Programmazione Attività Agricole, Garanzie delle Produzioni e Controlli. I tecnici</w:t>
      </w:r>
      <w:r>
        <w:t xml:space="preserve"> (liberi professionisti o CAA)</w:t>
      </w:r>
      <w:r w:rsidRPr="007D762D">
        <w:t xml:space="preserve"> che operano nel portale per conto di aziende, dovranno allegare anche le deleghe delle suddette ditte compilando il modulo "Gestione deleghe GARI"</w:t>
      </w:r>
      <w:r>
        <w:t>.</w:t>
      </w:r>
    </w:p>
    <w:p w14:paraId="26AF18B7" w14:textId="77777777" w:rsidR="00A87A96" w:rsidRDefault="00A87A96" w:rsidP="00A87A96">
      <w:pPr>
        <w:spacing w:line="276" w:lineRule="auto"/>
      </w:pPr>
      <w:r>
        <w:t xml:space="preserve">Gli Organismi di Controllo Biologici che dovranno svolgere le opportune verifiche sulle registrazioni tenute dalle aziende biologiche avranno l’accesso al portale con </w:t>
      </w:r>
      <w:r w:rsidRPr="004534D2">
        <w:t xml:space="preserve">l’attivazione di utenze GARI per gli O.d.C. che </w:t>
      </w:r>
      <w:r>
        <w:t xml:space="preserve">così </w:t>
      </w:r>
      <w:r w:rsidRPr="004534D2">
        <w:t>potranno in autonomia accedere ai registri, stampare e vidimare le schede per quanto di competenza</w:t>
      </w:r>
      <w:r>
        <w:t>.</w:t>
      </w:r>
    </w:p>
    <w:p w14:paraId="2653EA2A" w14:textId="77777777" w:rsidR="00A87A96" w:rsidRDefault="00A87A96" w:rsidP="00A87A96">
      <w:pPr>
        <w:spacing w:line="276" w:lineRule="auto"/>
      </w:pPr>
      <w:r>
        <w:t>Le istruzioni per l’iscrizione al Servizio e l’accesso al portale GARI sono disponibili nel sito web</w:t>
      </w:r>
    </w:p>
    <w:p w14:paraId="7C4B243F" w14:textId="77777777" w:rsidR="00A87A96" w:rsidRDefault="00A87A96" w:rsidP="00A87A96">
      <w:pPr>
        <w:spacing w:line="276" w:lineRule="auto"/>
      </w:pPr>
      <w:r w:rsidRPr="007A6BB6">
        <w:t>https://accessounico.regione.umbria.it/it/enti-partecipanti/enti/regione-umbria/agricoltura-e-sviluppo-rurale/registrarsi-al-gari-umbria-per-la-gestione-dei-processi-agricoli/</w:t>
      </w:r>
    </w:p>
    <w:p w14:paraId="69BA80AB" w14:textId="77777777" w:rsidR="00A87A96" w:rsidRDefault="00A87A96" w:rsidP="00A87A96">
      <w:pPr>
        <w:spacing w:line="276" w:lineRule="auto"/>
      </w:pPr>
    </w:p>
    <w:p w14:paraId="32E6FCA9" w14:textId="77777777" w:rsidR="00A87A96" w:rsidRPr="00B81B67" w:rsidRDefault="00A87A96" w:rsidP="00A87A96">
      <w:pPr>
        <w:rPr>
          <w:b/>
          <w:bCs/>
        </w:rPr>
      </w:pPr>
      <w:r>
        <w:rPr>
          <w:b/>
          <w:bCs/>
        </w:rPr>
        <w:t>Modalità operative</w:t>
      </w:r>
    </w:p>
    <w:p w14:paraId="62779F62" w14:textId="77777777" w:rsidR="00A87A96" w:rsidRDefault="00A87A96" w:rsidP="00A87A96">
      <w:pPr>
        <w:spacing w:line="276" w:lineRule="auto"/>
      </w:pPr>
      <w:r>
        <w:t xml:space="preserve">Il passaggio dalle registrazioni cartacee al registro informatizzato GARI verrà effettuato dall’operatore biologico successivamente alla data dell’ultima verifica ispettiva svolta dall’O.d.C nell’anno </w:t>
      </w:r>
      <w:r w:rsidRPr="00253AFF">
        <w:rPr>
          <w:b/>
          <w:bCs/>
        </w:rPr>
        <w:t>2025</w:t>
      </w:r>
      <w:r>
        <w:t xml:space="preserve"> e lo stesso provvederà a caricare nel GARI tutte le registrazioni nel frattempo effettuate, aggiornando in tal modo le </w:t>
      </w:r>
      <w:r w:rsidRPr="008F6A5E">
        <w:t xml:space="preserve">schede materie prime, vendite e scheda colturale </w:t>
      </w:r>
      <w:r>
        <w:t xml:space="preserve">con l’inserimento delle fertilizzazioni eseguite, delle operazioni colturali, i trattamenti fitosanitari e le movimentazioni intervenute dall’ultimo controllo. </w:t>
      </w:r>
    </w:p>
    <w:p w14:paraId="222A5117" w14:textId="77777777" w:rsidR="00A87A96" w:rsidRDefault="00A87A96" w:rsidP="00A87A96">
      <w:pPr>
        <w:spacing w:line="276" w:lineRule="auto"/>
      </w:pPr>
      <w:r>
        <w:t>Con riferimento alle tempistiche di registrazione nel GARI si precisa quanto segue:</w:t>
      </w:r>
    </w:p>
    <w:p w14:paraId="4C7594B4" w14:textId="77777777" w:rsidR="00A87A96" w:rsidRDefault="00A87A96" w:rsidP="00A87A96">
      <w:pPr>
        <w:numPr>
          <w:ilvl w:val="0"/>
          <w:numId w:val="1"/>
        </w:numPr>
        <w:spacing w:line="276" w:lineRule="auto"/>
      </w:pPr>
      <w:r>
        <w:t>per le visite ispettive 2025 svolte entro il 31 maggio 2025 dal giorno successivo (1° giugno 2025) vanno caricate nel GARI tutte le registrazioni future;</w:t>
      </w:r>
    </w:p>
    <w:p w14:paraId="55D6A3D1" w14:textId="77777777" w:rsidR="00A87A96" w:rsidRDefault="00A87A96" w:rsidP="00A87A96">
      <w:pPr>
        <w:numPr>
          <w:ilvl w:val="0"/>
          <w:numId w:val="1"/>
        </w:numPr>
        <w:spacing w:line="276" w:lineRule="auto"/>
      </w:pPr>
      <w:r>
        <w:t xml:space="preserve">per le visite ispettive 2025 svolte dopo il 31 maggio 2025 il caricamento nel GARI delle registrazioni avverrà dal giorno successivo alla visita ispettiva.  </w:t>
      </w:r>
    </w:p>
    <w:p w14:paraId="26576E61" w14:textId="77777777" w:rsidR="00A87A96" w:rsidRDefault="00A87A96" w:rsidP="00A87A96">
      <w:pPr>
        <w:spacing w:line="276" w:lineRule="auto"/>
      </w:pPr>
    </w:p>
    <w:p w14:paraId="033256D5" w14:textId="77777777" w:rsidR="00A87A96" w:rsidRDefault="00A87A96" w:rsidP="00A87A96">
      <w:pPr>
        <w:spacing w:line="276" w:lineRule="auto"/>
      </w:pPr>
      <w:r>
        <w:t>Gli</w:t>
      </w:r>
      <w:r w:rsidRPr="00C363D5">
        <w:t xml:space="preserve"> </w:t>
      </w:r>
      <w:r w:rsidRPr="00B22A0D">
        <w:t>O.d.C</w:t>
      </w:r>
      <w:r w:rsidRPr="00C363D5">
        <w:t xml:space="preserve"> dovranno quindi effettuare i previsti controlli </w:t>
      </w:r>
      <w:r>
        <w:t xml:space="preserve">2026 </w:t>
      </w:r>
      <w:r w:rsidRPr="00C363D5">
        <w:t>verificando</w:t>
      </w:r>
      <w:r>
        <w:t>,</w:t>
      </w:r>
      <w:r w:rsidRPr="00C363D5">
        <w:t xml:space="preserve"> dalla data del controllo </w:t>
      </w:r>
      <w:r w:rsidRPr="00C363D5">
        <w:lastRenderedPageBreak/>
        <w:t>precedente</w:t>
      </w:r>
      <w:r>
        <w:t>,</w:t>
      </w:r>
      <w:r w:rsidRPr="00C363D5">
        <w:t xml:space="preserve"> le operazioni caricate esclusivamente sul registro elettronico</w:t>
      </w:r>
      <w:r>
        <w:t xml:space="preserve"> GARI.</w:t>
      </w:r>
    </w:p>
    <w:p w14:paraId="17EF45E4" w14:textId="7D3DDBC6" w:rsidR="009F0869" w:rsidRDefault="009F0869" w:rsidP="00A87A96">
      <w:pPr>
        <w:spacing w:line="276" w:lineRule="auto"/>
      </w:pPr>
    </w:p>
    <w:p w14:paraId="5CEF88DA" w14:textId="77777777" w:rsidR="009F0869" w:rsidRDefault="009F0869" w:rsidP="00A87A96">
      <w:pPr>
        <w:spacing w:line="276" w:lineRule="auto"/>
      </w:pPr>
    </w:p>
    <w:p w14:paraId="31B4D32B" w14:textId="5CBF51F2" w:rsidR="009F0869" w:rsidRDefault="009F0869" w:rsidP="00A87A96">
      <w:pPr>
        <w:spacing w:line="276" w:lineRule="auto"/>
      </w:pPr>
      <w:r>
        <w:t xml:space="preserve">A chiusura del </w:t>
      </w:r>
      <w:r w:rsidR="00A87A96">
        <w:t xml:space="preserve">controllo </w:t>
      </w:r>
      <w:r>
        <w:t xml:space="preserve">il tecnico incaricato dall’O.d.C. vidima il registro GARI inserendo la data di ispezione nell’apposito campo, il nome, il codice e la sigla </w:t>
      </w:r>
      <w:proofErr w:type="gramStart"/>
      <w:r>
        <w:t>dell’</w:t>
      </w:r>
      <w:proofErr w:type="spellStart"/>
      <w:r>
        <w:t>OdC</w:t>
      </w:r>
      <w:proofErr w:type="spellEnd"/>
      <w:r>
        <w:t>..</w:t>
      </w:r>
      <w:proofErr w:type="gramEnd"/>
    </w:p>
    <w:p w14:paraId="5343DFF3" w14:textId="6DF33EDF" w:rsidR="009F0869" w:rsidRDefault="009F0869" w:rsidP="009F0869">
      <w:pPr>
        <w:spacing w:line="276" w:lineRule="auto"/>
      </w:pPr>
      <w:r>
        <w:t>Le schede dei registri BIO consolidati in file pdf al momento della chiusura della visita</w:t>
      </w:r>
      <w:r>
        <w:t>,</w:t>
      </w:r>
      <w:r>
        <w:t xml:space="preserve"> andranno stampati firmati e riacquisiti all’interno del portale (upload) come file-documenti insieme al rapporto sintetico di visita ispettiva.</w:t>
      </w:r>
    </w:p>
    <w:p w14:paraId="66B0E7EC" w14:textId="77777777" w:rsidR="00A174CB" w:rsidRDefault="00A174CB" w:rsidP="00A174CB">
      <w:pPr>
        <w:spacing w:line="276" w:lineRule="auto"/>
      </w:pPr>
      <w:r>
        <w:t>Con il rilascio dei registri BIO tutte le operazioni precedenti alla data di rilascio vengono congelate e non sono più modificabili.</w:t>
      </w:r>
    </w:p>
    <w:p w14:paraId="1CA4E377" w14:textId="15739DCC" w:rsidR="00A174CB" w:rsidRDefault="00A174CB" w:rsidP="00A174CB">
      <w:pPr>
        <w:spacing w:line="276" w:lineRule="auto"/>
      </w:pPr>
      <w:r>
        <w:t>L</w:t>
      </w:r>
      <w:r w:rsidRPr="00FD417E">
        <w:t>a data di stampa</w:t>
      </w:r>
      <w:r>
        <w:t xml:space="preserve"> assume il significato di “data di rilascio” della validazione da parte dell’</w:t>
      </w:r>
      <w:proofErr w:type="spellStart"/>
      <w:r>
        <w:t>OdC</w:t>
      </w:r>
      <w:proofErr w:type="spellEnd"/>
    </w:p>
    <w:p w14:paraId="3FF28256" w14:textId="77777777" w:rsidR="009F0869" w:rsidRDefault="009F0869" w:rsidP="00A87A96">
      <w:pPr>
        <w:spacing w:line="276" w:lineRule="auto"/>
      </w:pPr>
    </w:p>
    <w:p w14:paraId="2E7321A2" w14:textId="77777777" w:rsidR="00A87A96" w:rsidRDefault="00A87A96" w:rsidP="00A87A96">
      <w:pPr>
        <w:spacing w:line="276" w:lineRule="auto"/>
      </w:pPr>
    </w:p>
    <w:p w14:paraId="11DE0EB5" w14:textId="77777777" w:rsidR="00A87A96" w:rsidRPr="00E64AA9" w:rsidRDefault="00A87A96" w:rsidP="00A87A96">
      <w:pPr>
        <w:spacing w:line="276" w:lineRule="auto"/>
        <w:rPr>
          <w:b/>
          <w:bCs/>
        </w:rPr>
      </w:pPr>
      <w:r w:rsidRPr="00E64AA9">
        <w:rPr>
          <w:b/>
          <w:bCs/>
        </w:rPr>
        <w:t>Gestione magazzini e movimentazioni</w:t>
      </w:r>
    </w:p>
    <w:p w14:paraId="0EE6FAD7" w14:textId="77777777" w:rsidR="00A87A96" w:rsidRDefault="00A87A96" w:rsidP="00A87A96">
      <w:pPr>
        <w:spacing w:line="276" w:lineRule="auto"/>
      </w:pPr>
      <w:r>
        <w:t>A partire dalla data dell’ultima visita ispettiva 2025 nel GARI vanno riportate tutte le movimentazioni riguardanti materie prime, vendite e operazioni colturali.</w:t>
      </w:r>
    </w:p>
    <w:p w14:paraId="4E31CFB7" w14:textId="042ABE1E" w:rsidR="00A87A96" w:rsidRDefault="00A87A96" w:rsidP="00A87A96">
      <w:pPr>
        <w:spacing w:line="276" w:lineRule="auto"/>
      </w:pPr>
      <w:r>
        <w:t xml:space="preserve">Al successivo controllo 2026 l’O.d.C verificherà lo stato del saldo di </w:t>
      </w:r>
      <w:r w:rsidR="00045C8C">
        <w:t>magazzino e le movimentazioni intervenute successivamente all’ultima visita ispettiva. Il magazzino si consoliderà con la visita ispettiva 2026.</w:t>
      </w:r>
    </w:p>
    <w:p w14:paraId="67FA6F80" w14:textId="77777777" w:rsidR="00A87A96" w:rsidRDefault="00A87A96" w:rsidP="00A87A96">
      <w:pPr>
        <w:spacing w:line="276" w:lineRule="auto"/>
      </w:pPr>
      <w:r>
        <w:t>Sarà cura dell’O.d.C certificare nel GARI il saldo di magazzino 2026.</w:t>
      </w:r>
    </w:p>
    <w:p w14:paraId="0D948168" w14:textId="77777777" w:rsidR="00A87A96" w:rsidRDefault="00A87A96" w:rsidP="00A87A96">
      <w:pPr>
        <w:spacing w:line="276" w:lineRule="auto"/>
      </w:pPr>
    </w:p>
    <w:p w14:paraId="15352895" w14:textId="77777777" w:rsidR="00A87A96" w:rsidRPr="00C403CD" w:rsidRDefault="00A87A96" w:rsidP="00A87A96">
      <w:pPr>
        <w:spacing w:line="276" w:lineRule="auto"/>
        <w:rPr>
          <w:b/>
          <w:bCs/>
        </w:rPr>
      </w:pPr>
      <w:r w:rsidRPr="00C403CD">
        <w:rPr>
          <w:b/>
          <w:bCs/>
        </w:rPr>
        <w:t>Casi particolari</w:t>
      </w:r>
    </w:p>
    <w:p w14:paraId="33629FA4" w14:textId="77777777" w:rsidR="00A87A96" w:rsidRPr="00C403CD" w:rsidRDefault="00A87A96" w:rsidP="00A87A96">
      <w:pPr>
        <w:spacing w:line="276" w:lineRule="auto"/>
        <w:rPr>
          <w:u w:val="single"/>
        </w:rPr>
      </w:pPr>
      <w:r w:rsidRPr="00C403CD">
        <w:rPr>
          <w:u w:val="single"/>
        </w:rPr>
        <w:t>Aziende miste</w:t>
      </w:r>
      <w:r>
        <w:rPr>
          <w:u w:val="single"/>
        </w:rPr>
        <w:t xml:space="preserve"> (con superfici bio/convenzionale o con zootecnia convenzionale)</w:t>
      </w:r>
    </w:p>
    <w:p w14:paraId="6993234D" w14:textId="77777777" w:rsidR="00A87A96" w:rsidRDefault="00A87A96" w:rsidP="00A87A96">
      <w:pPr>
        <w:spacing w:line="276" w:lineRule="auto"/>
      </w:pPr>
      <w:r>
        <w:t xml:space="preserve">Le aziende con superfici biologiche e convenzionali dovranno creare nel GARI un doppio magazzino rispettivamente per le registrazioni </w:t>
      </w:r>
      <w:proofErr w:type="spellStart"/>
      <w:r>
        <w:t>bio</w:t>
      </w:r>
      <w:proofErr w:type="spellEnd"/>
      <w:r>
        <w:t xml:space="preserve"> e convenzionali.</w:t>
      </w:r>
    </w:p>
    <w:p w14:paraId="59ECDD2A" w14:textId="13C0CCC1" w:rsidR="001D15A1" w:rsidRDefault="001D15A1" w:rsidP="00A87A96">
      <w:pPr>
        <w:spacing w:line="276" w:lineRule="auto"/>
      </w:pPr>
      <w:r>
        <w:t>Le aziende miste dovranno riportare nelle schede colturali, nelle schede materie prime e nelle schede vendite tutte le operazioni convenzionali e biologiche.</w:t>
      </w:r>
    </w:p>
    <w:p w14:paraId="7A362D91" w14:textId="3B12EF72" w:rsidR="00C5730E" w:rsidRDefault="00C5730E" w:rsidP="00A87A96">
      <w:pPr>
        <w:spacing w:line="276" w:lineRule="auto"/>
      </w:pPr>
    </w:p>
    <w:p w14:paraId="4CBE412D" w14:textId="77777777" w:rsidR="00A87A96" w:rsidRDefault="00A87A96" w:rsidP="00A87A96">
      <w:pPr>
        <w:spacing w:line="276" w:lineRule="auto"/>
      </w:pPr>
    </w:p>
    <w:p w14:paraId="39D72D05" w14:textId="77777777" w:rsidR="00A87A96" w:rsidRDefault="00A87A96" w:rsidP="00A87A96"/>
    <w:p w14:paraId="0EE6F236" w14:textId="77777777" w:rsidR="00A87A96" w:rsidRPr="00102109" w:rsidRDefault="00A87A96" w:rsidP="00A87A96">
      <w:pPr>
        <w:rPr>
          <w:b/>
          <w:bCs/>
        </w:rPr>
      </w:pPr>
      <w:r w:rsidRPr="00102109">
        <w:rPr>
          <w:b/>
          <w:bCs/>
        </w:rPr>
        <w:t>Mancato adempimento delle registrazioni nel portale GARI</w:t>
      </w:r>
    </w:p>
    <w:p w14:paraId="4CE6A97B" w14:textId="77777777" w:rsidR="00A87A96" w:rsidRDefault="00A87A96" w:rsidP="00A87A96">
      <w:pPr>
        <w:spacing w:line="276" w:lineRule="auto"/>
      </w:pPr>
      <w:r>
        <w:t>La corretta tenuta delle registrazioni informatizzate nel GARI effettuate dagli operatori biologici umbri vale a tutti gli effetti come adempimento ai sensi del Reg. (UE) n. 848/2018 che gli O.d.C avranno cura di verificare applicando le sanzioni previste dalla normativa di riferimento in caso di gestione non conforme.</w:t>
      </w:r>
    </w:p>
    <w:p w14:paraId="48009F70" w14:textId="77777777" w:rsidR="00A87A96" w:rsidRDefault="00A87A96" w:rsidP="00A87A96">
      <w:pPr>
        <w:spacing w:line="276" w:lineRule="auto"/>
      </w:pPr>
    </w:p>
    <w:p w14:paraId="5AF157AA" w14:textId="77777777" w:rsidR="00A87A96" w:rsidRDefault="00A87A96" w:rsidP="00A87A96">
      <w:pPr>
        <w:rPr>
          <w:b/>
          <w:bCs/>
        </w:rPr>
      </w:pPr>
    </w:p>
    <w:p w14:paraId="4DA3BA32" w14:textId="77777777" w:rsidR="000E79AC" w:rsidRDefault="000E79AC"/>
    <w:sectPr w:rsidR="000E79AC" w:rsidSect="00A87A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9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4A48" w14:textId="77777777" w:rsidR="005B229A" w:rsidRDefault="005B229A">
      <w:r>
        <w:separator/>
      </w:r>
    </w:p>
  </w:endnote>
  <w:endnote w:type="continuationSeparator" w:id="0">
    <w:p w14:paraId="41642DDB" w14:textId="77777777" w:rsidR="005B229A" w:rsidRDefault="005B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B9B9" w14:textId="77777777" w:rsidR="00683158" w:rsidRDefault="00000000">
    <w:pPr>
      <w:pStyle w:val="Pidipagina"/>
      <w:tabs>
        <w:tab w:val="left" w:pos="2552"/>
      </w:tabs>
      <w:rPr>
        <w:sz w:val="16"/>
        <w:szCs w:val="16"/>
      </w:rPr>
    </w:pPr>
    <w:r>
      <w:rPr>
        <w:sz w:val="16"/>
        <w:szCs w:val="16"/>
      </w:rPr>
      <w:t xml:space="preserve">segue atto n. </w:t>
    </w:r>
    <w:r>
      <w:rPr>
        <w:vanish/>
        <w:sz w:val="16"/>
        <w:szCs w:val="16"/>
      </w:rPr>
      <w:t>[--NMRTT_X--]</w:t>
    </w:r>
    <w:r>
      <w:rPr>
        <w:sz w:val="16"/>
        <w:szCs w:val="16"/>
      </w:rPr>
      <w:tab/>
      <w:t xml:space="preserve"> del </w:t>
    </w:r>
    <w:r>
      <w:rPr>
        <w:vanish/>
        <w:sz w:val="16"/>
        <w:szCs w:val="16"/>
      </w:rPr>
      <w:t>[--DTTT_X--]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>\page\* ARABIC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33B4" w14:textId="77777777" w:rsidR="00683158" w:rsidRDefault="00000000">
    <w:pPr>
      <w:pStyle w:val="Pidipagina"/>
      <w:rPr>
        <w:sz w:val="16"/>
        <w:szCs w:val="16"/>
      </w:rPr>
    </w:pPr>
    <w:r>
      <w:tab/>
    </w:r>
    <w:r>
      <w:tab/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2CA4" w14:textId="77777777" w:rsidR="005B229A" w:rsidRDefault="005B229A">
      <w:r>
        <w:separator/>
      </w:r>
    </w:p>
  </w:footnote>
  <w:footnote w:type="continuationSeparator" w:id="0">
    <w:p w14:paraId="24DFB7EE" w14:textId="77777777" w:rsidR="005B229A" w:rsidRDefault="005B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F5A3" w14:textId="77777777" w:rsidR="00683158" w:rsidRDefault="00000000">
    <w:pPr>
      <w:pStyle w:val="Intestazione"/>
      <w:tabs>
        <w:tab w:val="clear" w:pos="4535"/>
        <w:tab w:val="clear" w:pos="9070"/>
        <w:tab w:val="center" w:pos="4819"/>
        <w:tab w:val="right" w:pos="9638"/>
      </w:tabs>
      <w:rPr>
        <w:rFonts w:ascii="Times New Roman" w:hAnsi="Times New Roman" w:cs="Times New Roman"/>
        <w:sz w:val="20"/>
        <w:szCs w:val="20"/>
      </w:rPr>
    </w:pPr>
    <w:r>
      <w:rPr>
        <w:sz w:val="12"/>
        <w:szCs w:val="12"/>
      </w:rPr>
      <w:t>COD. PRATICA: 2023-002-1043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BD4B" w14:textId="77777777" w:rsidR="00683158" w:rsidRDefault="00000000">
    <w:pPr>
      <w:tabs>
        <w:tab w:val="center" w:pos="4536"/>
        <w:tab w:val="right" w:pos="9072"/>
      </w:tabs>
    </w:pPr>
    <w:r>
      <w:rPr>
        <w:sz w:val="12"/>
        <w:szCs w:val="12"/>
      </w:rPr>
      <w:t>CODPRAT: 2023-002-1043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3429"/>
    <w:multiLevelType w:val="hybridMultilevel"/>
    <w:tmpl w:val="9D740C14"/>
    <w:lvl w:ilvl="0" w:tplc="5098503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64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96"/>
    <w:rsid w:val="00045C8C"/>
    <w:rsid w:val="000D647E"/>
    <w:rsid w:val="000E79AC"/>
    <w:rsid w:val="00152ADB"/>
    <w:rsid w:val="001D15A1"/>
    <w:rsid w:val="00260CC8"/>
    <w:rsid w:val="003E7139"/>
    <w:rsid w:val="00462FEC"/>
    <w:rsid w:val="005B229A"/>
    <w:rsid w:val="00683158"/>
    <w:rsid w:val="009158C3"/>
    <w:rsid w:val="009F0869"/>
    <w:rsid w:val="00A174CB"/>
    <w:rsid w:val="00A87A96"/>
    <w:rsid w:val="00B9061F"/>
    <w:rsid w:val="00C5730E"/>
    <w:rsid w:val="00C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FEDC"/>
  <w15:chartTrackingRefBased/>
  <w15:docId w15:val="{215D33F8-C4D2-416D-9D51-91C0C081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A96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7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7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7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7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7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7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7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7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7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7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7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7A9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7A9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7A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7A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7A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7A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7A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7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7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7A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7A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7A9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7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7A9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7A9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A87A96"/>
    <w:pPr>
      <w:tabs>
        <w:tab w:val="center" w:pos="4535"/>
        <w:tab w:val="right" w:pos="907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A96"/>
    <w:rPr>
      <w:rFonts w:ascii="Arial" w:eastAsiaTheme="minorEastAsia" w:hAnsi="Arial" w:cs="Arial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A87A96"/>
    <w:pPr>
      <w:tabs>
        <w:tab w:val="center" w:pos="4535"/>
        <w:tab w:val="right" w:pos="907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A96"/>
    <w:rPr>
      <w:rFonts w:ascii="Arial" w:eastAsiaTheme="minorEastAsia" w:hAnsi="Arial" w:cs="Arial"/>
      <w:kern w:val="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rsid w:val="00A87A9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Sensi</dc:creator>
  <cp:keywords/>
  <dc:description/>
  <cp:lastModifiedBy>Paolo Sensi</cp:lastModifiedBy>
  <cp:revision>2</cp:revision>
  <dcterms:created xsi:type="dcterms:W3CDTF">2025-04-14T11:50:00Z</dcterms:created>
  <dcterms:modified xsi:type="dcterms:W3CDTF">2025-04-15T15:18:00Z</dcterms:modified>
</cp:coreProperties>
</file>